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21" w:rsidRDefault="003C7DDA">
      <w:pPr>
        <w:jc w:val="center"/>
        <w:rPr>
          <w:rFonts w:ascii="Palatino" w:eastAsia="Apple LiSung Light" w:hAnsi="Palatino"/>
          <w:lang w:eastAsia="zh-TW"/>
        </w:rPr>
      </w:pPr>
      <w:bookmarkStart w:id="0" w:name="_GoBack"/>
      <w:bookmarkEnd w:id="0"/>
    </w:p>
    <w:p w:rsidR="00A51421" w:rsidRDefault="00F86BFC" w:rsidP="00A51421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050947">
        <w:rPr>
          <w:rFonts w:ascii="Palatino" w:eastAsia="Apple LiSung Light" w:hAnsi="Palatino"/>
          <w:lang w:eastAsia="zh-TW"/>
        </w:rPr>
        <w:t xml:space="preserve"> </w:t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>Subject</w:t>
      </w:r>
      <w:r w:rsidR="00050947">
        <w:rPr>
          <w:rFonts w:ascii="Palatino" w:eastAsia="Apple LiSung Light" w:hAnsi="Palatino"/>
          <w:u w:val="single"/>
          <w:lang w:eastAsia="zh-TW"/>
        </w:rPr>
        <w:t xml:space="preserve"> </w:t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lang w:eastAsia="zh-TW"/>
        </w:rPr>
        <w:tab/>
        <w:t xml:space="preserve">Grade level </w:t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u w:val="single"/>
          <w:lang w:eastAsia="zh-TW"/>
        </w:rPr>
        <w:tab/>
      </w:r>
      <w:r w:rsidR="00050947">
        <w:rPr>
          <w:rFonts w:ascii="Palatino" w:eastAsia="Apple LiSung Light" w:hAnsi="Palatino"/>
          <w:u w:val="single"/>
          <w:lang w:eastAsia="zh-TW"/>
        </w:rPr>
        <w:tab/>
      </w:r>
    </w:p>
    <w:p w:rsidR="00A51421" w:rsidRDefault="003C7DDA" w:rsidP="00A51421">
      <w:pPr>
        <w:rPr>
          <w:rFonts w:ascii="Palatino" w:eastAsia="Apple LiSung Light" w:hAnsi="Palatino"/>
          <w:lang w:eastAsia="zh-TW"/>
        </w:rPr>
      </w:pPr>
    </w:p>
    <w:p w:rsidR="00A51421" w:rsidRPr="00A51421" w:rsidRDefault="00050947" w:rsidP="00A51421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51421" w:rsidRDefault="003C7DD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A51421" w:rsidTr="00F86BFC">
        <w:tc>
          <w:tcPr>
            <w:tcW w:w="5000" w:type="pct"/>
            <w:shd w:val="pct10" w:color="auto" w:fill="auto"/>
          </w:tcPr>
          <w:p w:rsidR="00A51421" w:rsidRDefault="00050947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51421" w:rsidTr="00F86BFC">
        <w:tc>
          <w:tcPr>
            <w:tcW w:w="5000" w:type="pct"/>
            <w:tcBorders>
              <w:bottom w:val="single" w:sz="4" w:space="0" w:color="auto"/>
            </w:tcBorders>
          </w:tcPr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Standards, benchmarks, other objectives as needed (e.g., IEP)—What should students know, understand, and be able to do as a result of the lesson?</w:t>
            </w: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6E7215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Minimum</w:t>
            </w:r>
            <w:r w:rsidR="00050947">
              <w:rPr>
                <w:rFonts w:ascii="Palatino" w:eastAsia="Apple LiSung Light" w:hAnsi="Palatino"/>
                <w:i/>
                <w:sz w:val="22"/>
                <w:lang w:eastAsia="zh-TW"/>
              </w:rPr>
              <w:t>:</w:t>
            </w:r>
          </w:p>
          <w:p w:rsidR="00A51421" w:rsidRDefault="00050947">
            <w:pPr>
              <w:numPr>
                <w:ilvl w:val="0"/>
                <w:numId w:val="1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General Learner Outcome (GLO)</w:t>
            </w:r>
          </w:p>
          <w:p w:rsidR="00A51421" w:rsidRDefault="00F86BFC">
            <w:pPr>
              <w:numPr>
                <w:ilvl w:val="0"/>
                <w:numId w:val="1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Florida</w:t>
            </w:r>
            <w:r w:rsidR="00050947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Content and Performance Standard and Benchmark (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MFAS or FCAT 2.0 Science)</w:t>
            </w:r>
          </w:p>
          <w:p w:rsidR="00A51421" w:rsidRDefault="00F86BFC">
            <w:pPr>
              <w:numPr>
                <w:ilvl w:val="0"/>
                <w:numId w:val="1"/>
              </w:num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Florida</w:t>
            </w:r>
            <w:r w:rsidR="00050947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Teacher Performance Standard</w:t>
            </w: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51421" w:rsidTr="00F86BFC">
        <w:tc>
          <w:tcPr>
            <w:tcW w:w="5000" w:type="pct"/>
            <w:shd w:val="pct10" w:color="auto" w:fill="auto"/>
          </w:tcPr>
          <w:p w:rsidR="00A51421" w:rsidRDefault="00050947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51421" w:rsidTr="00F86BFC">
        <w:tc>
          <w:tcPr>
            <w:tcW w:w="5000" w:type="pct"/>
            <w:tcBorders>
              <w:bottom w:val="single" w:sz="4" w:space="0" w:color="auto"/>
            </w:tcBorders>
          </w:tcPr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criteria—How good is good enough to meet standards?</w:t>
            </w: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51421" w:rsidTr="00F86BFC">
        <w:tc>
          <w:tcPr>
            <w:tcW w:w="5000" w:type="pct"/>
            <w:shd w:val="pct10" w:color="auto" w:fill="auto"/>
          </w:tcPr>
          <w:p w:rsidR="00A51421" w:rsidRDefault="00050947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  <w:r w:rsidR="006E7215">
              <w:rPr>
                <w:rFonts w:ascii="Palatino" w:eastAsia="Apple LiSung Light" w:hAnsi="Palatino"/>
                <w:sz w:val="22"/>
                <w:lang w:eastAsia="zh-TW"/>
              </w:rPr>
              <w:t xml:space="preserve"> (STRATEGIES)</w:t>
            </w:r>
          </w:p>
        </w:tc>
      </w:tr>
      <w:tr w:rsidR="00A51421" w:rsidTr="00F86BFC">
        <w:tc>
          <w:tcPr>
            <w:tcW w:w="5000" w:type="pct"/>
            <w:tcBorders>
              <w:bottom w:val="single" w:sz="4" w:space="0" w:color="auto"/>
            </w:tcBorders>
          </w:tcPr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Learning activities (step by step from start to finish, detailed enough for another teacher to follow)</w:t>
            </w: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51421" w:rsidTr="00F86BFC">
        <w:tc>
          <w:tcPr>
            <w:tcW w:w="5000" w:type="pct"/>
            <w:shd w:val="pct10" w:color="auto" w:fill="auto"/>
          </w:tcPr>
          <w:p w:rsidR="00A51421" w:rsidRDefault="00050947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51421" w:rsidTr="00F86BFC">
        <w:trPr>
          <w:trHeight w:val="70"/>
        </w:trPr>
        <w:tc>
          <w:tcPr>
            <w:tcW w:w="5000" w:type="pct"/>
          </w:tcPr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51421" w:rsidRDefault="00050947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51421" w:rsidRDefault="003C7DD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A51421" w:rsidRDefault="003C7DDA">
      <w:pPr>
        <w:rPr>
          <w:rFonts w:ascii="Palatino" w:hAnsi="Palatino"/>
        </w:rPr>
      </w:pPr>
    </w:p>
    <w:p w:rsidR="00A51421" w:rsidRDefault="00050947">
      <w:pPr>
        <w:rPr>
          <w:sz w:val="20"/>
        </w:rPr>
      </w:pPr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 2006.</w:t>
      </w:r>
    </w:p>
    <w:p w:rsidR="00A51421" w:rsidRPr="0070406F" w:rsidRDefault="00050947">
      <w:pPr>
        <w:jc w:val="center"/>
        <w:rPr>
          <w:rFonts w:ascii="Arial" w:hAnsi="Arial"/>
        </w:rPr>
      </w:pPr>
      <w:r w:rsidRPr="0070406F">
        <w:rPr>
          <w:rFonts w:ascii="Arial" w:hAnsi="Arial"/>
        </w:rPr>
        <w:t>Tools for Assessment</w:t>
      </w:r>
    </w:p>
    <w:p w:rsidR="00A51421" w:rsidRDefault="003C7DD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088"/>
        <w:gridCol w:w="2340"/>
      </w:tblGrid>
      <w:tr w:rsidR="00A51421">
        <w:tc>
          <w:tcPr>
            <w:tcW w:w="2160" w:type="dxa"/>
          </w:tcPr>
          <w:p w:rsidR="00A51421" w:rsidRDefault="00050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Written</w:t>
            </w:r>
          </w:p>
        </w:tc>
        <w:tc>
          <w:tcPr>
            <w:tcW w:w="2160" w:type="dxa"/>
          </w:tcPr>
          <w:p w:rsidR="00A51421" w:rsidRDefault="00050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Oral</w:t>
            </w:r>
          </w:p>
        </w:tc>
        <w:tc>
          <w:tcPr>
            <w:tcW w:w="2088" w:type="dxa"/>
          </w:tcPr>
          <w:p w:rsidR="00A51421" w:rsidRDefault="00050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Visual</w:t>
            </w:r>
          </w:p>
        </w:tc>
        <w:tc>
          <w:tcPr>
            <w:tcW w:w="2340" w:type="dxa"/>
          </w:tcPr>
          <w:p w:rsidR="00A51421" w:rsidRDefault="00050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Kinesthetic</w:t>
            </w:r>
          </w:p>
        </w:tc>
      </w:tr>
      <w:tr w:rsidR="00A51421">
        <w:trPr>
          <w:trHeight w:val="5912"/>
        </w:trPr>
        <w:tc>
          <w:tcPr>
            <w:tcW w:w="2160" w:type="dxa"/>
          </w:tcPr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Advertisement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Biography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Book report 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Book review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Brochure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Campaign speech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Crossword puzzle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Editorial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Essay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Experiment record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Game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Journal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Lab report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Letter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Log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Magazine article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Memo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Newspaper article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Poem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Portfolio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Position paper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Proposal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Questionnaire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Research report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Script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Story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Test</w:t>
            </w:r>
          </w:p>
          <w:p w:rsidR="00A51421" w:rsidRDefault="00050947">
            <w:pPr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Yearbook</w:t>
            </w:r>
          </w:p>
        </w:tc>
        <w:tc>
          <w:tcPr>
            <w:tcW w:w="2160" w:type="dxa"/>
          </w:tcPr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Audiotape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Balagtasan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Debate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Discussion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Dramatization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Haiku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Interview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Newscast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Oral presentation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Oral report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Poetry reading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Rap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Reader’s Theater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Role play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Skit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Speech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Song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Teach a lesson</w:t>
            </w:r>
          </w:p>
          <w:p w:rsidR="00A51421" w:rsidRDefault="003C7D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88" w:type="dxa"/>
          </w:tcPr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Advertisement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Banner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Brochure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Campaign flyer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Cartoon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Chart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Collage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Collection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Computer graphic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Construction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Data display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Design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Diagram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Display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Diorama/shoebox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Drawing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Graph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Graphic Organizer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Map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Mobile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Model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Painting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Photograph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Portfolio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Poster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Scrapbook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Sculpture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Slide show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Storyboard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Venn Diagram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Videotape</w:t>
            </w:r>
          </w:p>
          <w:p w:rsidR="00A51421" w:rsidRDefault="003C7DDA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Community outreach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Dramatization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Field trips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Letter writing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Oral interviews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Play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Presentation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Service learning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Simulations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Role play</w:t>
            </w:r>
          </w:p>
          <w:p w:rsidR="00A51421" w:rsidRDefault="000509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Skit</w:t>
            </w:r>
          </w:p>
          <w:p w:rsidR="00A51421" w:rsidRDefault="00050947">
            <w:pPr>
              <w:rPr>
                <w:rFonts w:ascii="Arial" w:hAnsi="Arial"/>
                <w:sz w:val="22"/>
              </w:rPr>
            </w:pPr>
            <w:r>
              <w:rPr>
                <w:rFonts w:ascii="Palatino" w:hAnsi="Palatino"/>
                <w:sz w:val="22"/>
              </w:rPr>
              <w:t>Scavenger hunt</w:t>
            </w:r>
          </w:p>
        </w:tc>
      </w:tr>
    </w:tbl>
    <w:p w:rsidR="00A51421" w:rsidRPr="0070406F" w:rsidRDefault="003C7DDA">
      <w:pPr>
        <w:pStyle w:val="Heading3"/>
        <w:rPr>
          <w:rFonts w:ascii="Palatino" w:hAnsi="Palatino"/>
          <w:sz w:val="22"/>
        </w:rPr>
      </w:pPr>
    </w:p>
    <w:p w:rsidR="00A51421" w:rsidRPr="001A5C7B" w:rsidRDefault="00050947" w:rsidP="00F86BFC">
      <w:pPr>
        <w:jc w:val="center"/>
        <w:rPr>
          <w:rFonts w:ascii="Palatino" w:hAnsi="Palatino"/>
        </w:rPr>
      </w:pPr>
      <w:r w:rsidRPr="0070406F">
        <w:rPr>
          <w:rFonts w:ascii="Palatino" w:hAnsi="Palatino"/>
          <w:sz w:val="22"/>
        </w:rPr>
        <w:br w:type="page"/>
      </w:r>
      <w:r w:rsidR="00F86BFC">
        <w:rPr>
          <w:rFonts w:ascii="Palatino" w:hAnsi="Palatino"/>
          <w:sz w:val="22"/>
        </w:rPr>
        <w:lastRenderedPageBreak/>
        <w:t xml:space="preserve">BAM </w:t>
      </w:r>
      <w:r w:rsidRPr="001A5C7B">
        <w:rPr>
          <w:rFonts w:ascii="Palatino" w:hAnsi="Palatino"/>
        </w:rPr>
        <w:t xml:space="preserve">Scoring Guide </w:t>
      </w:r>
    </w:p>
    <w:p w:rsidR="00A51421" w:rsidRPr="00857A47" w:rsidRDefault="003C7DDA" w:rsidP="00A51421">
      <w:pPr>
        <w:jc w:val="center"/>
        <w:rPr>
          <w:rFonts w:ascii="Palatino" w:hAnsi="Palatino"/>
        </w:rPr>
      </w:pPr>
    </w:p>
    <w:p w:rsidR="00A51421" w:rsidRPr="001A5C7B" w:rsidRDefault="00F86BFC" w:rsidP="00A51421">
      <w:pPr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</w:rPr>
        <w:t>Teacher</w:t>
      </w:r>
      <w:r w:rsidR="00050947" w:rsidRPr="000C18BC">
        <w:rPr>
          <w:rFonts w:ascii="Palatino" w:hAnsi="Palatino"/>
          <w:sz w:val="22"/>
        </w:rPr>
        <w:t xml:space="preserve"> </w:t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Subject</w:t>
      </w:r>
      <w:r w:rsidR="00050947" w:rsidRPr="000C18BC">
        <w:rPr>
          <w:rFonts w:ascii="Palatino" w:hAnsi="Palatino"/>
          <w:sz w:val="22"/>
        </w:rPr>
        <w:t xml:space="preserve"> </w:t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</w:rPr>
        <w:tab/>
        <w:t xml:space="preserve">Assessor </w:t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  <w:u w:val="single"/>
        </w:rPr>
        <w:tab/>
      </w:r>
      <w:r w:rsidR="00050947" w:rsidRPr="000C18BC">
        <w:rPr>
          <w:rFonts w:ascii="Palatino" w:hAnsi="Palatino"/>
          <w:sz w:val="22"/>
          <w:u w:val="single"/>
        </w:rPr>
        <w:tab/>
      </w:r>
    </w:p>
    <w:p w:rsidR="00A51421" w:rsidRPr="00857A47" w:rsidRDefault="003C7DDA" w:rsidP="00A51421">
      <w:pPr>
        <w:rPr>
          <w:rFonts w:ascii="Palatino" w:hAnsi="Palatino"/>
          <w:sz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06"/>
        <w:gridCol w:w="2563"/>
        <w:gridCol w:w="2563"/>
        <w:gridCol w:w="2563"/>
      </w:tblGrid>
      <w:tr w:rsidR="00A51421" w:rsidRPr="00857A47" w:rsidTr="00F86BFC">
        <w:trPr>
          <w:trHeight w:val="141"/>
        </w:trPr>
        <w:tc>
          <w:tcPr>
            <w:tcW w:w="1606" w:type="dxa"/>
            <w:tcBorders>
              <w:bottom w:val="single" w:sz="4" w:space="0" w:color="auto"/>
            </w:tcBorders>
          </w:tcPr>
          <w:p w:rsidR="00A51421" w:rsidRPr="00857A47" w:rsidRDefault="003C7D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51421" w:rsidRPr="00857A47" w:rsidRDefault="00050947" w:rsidP="00A51421">
            <w:pPr>
              <w:jc w:val="center"/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Unacceptable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51421" w:rsidRPr="00857A47" w:rsidRDefault="00050947" w:rsidP="00A51421">
            <w:pPr>
              <w:jc w:val="center"/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Acceptable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51421" w:rsidRPr="00857A47" w:rsidRDefault="00050947" w:rsidP="00A51421">
            <w:pPr>
              <w:jc w:val="center"/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Target</w:t>
            </w:r>
          </w:p>
        </w:tc>
      </w:tr>
      <w:tr w:rsidR="00A51421" w:rsidRPr="00857A47" w:rsidTr="00F86BFC">
        <w:trPr>
          <w:trHeight w:val="738"/>
        </w:trPr>
        <w:tc>
          <w:tcPr>
            <w:tcW w:w="1606" w:type="dxa"/>
            <w:tcBorders>
              <w:bottom w:val="nil"/>
            </w:tcBorders>
          </w:tcPr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Lesson content</w:t>
            </w:r>
          </w:p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(15%)</w:t>
            </w:r>
          </w:p>
          <w:p w:rsidR="00A51421" w:rsidRPr="00857A47" w:rsidRDefault="003C7D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lesson content that is incompatible with state standards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content that is compatible with state standards. 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content that is compatible with state standards and adapt that content to suit the diversity of their students </w:t>
            </w:r>
          </w:p>
        </w:tc>
      </w:tr>
      <w:tr w:rsidR="00A51421" w:rsidRPr="00857A47" w:rsidTr="00F86BFC">
        <w:trPr>
          <w:trHeight w:val="283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Unacceptable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  <w:tr w:rsidR="00A51421" w:rsidRPr="00857A47" w:rsidTr="00F86BFC">
        <w:trPr>
          <w:trHeight w:val="1175"/>
        </w:trPr>
        <w:tc>
          <w:tcPr>
            <w:tcW w:w="1606" w:type="dxa"/>
            <w:tcBorders>
              <w:bottom w:val="nil"/>
            </w:tcBorders>
          </w:tcPr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Ability to plan</w:t>
            </w:r>
          </w:p>
          <w:p w:rsidR="00A51421" w:rsidRPr="00857A47" w:rsidRDefault="00050947">
            <w:pPr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(30%)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</w:t>
            </w:r>
            <w:r w:rsidR="00050947" w:rsidRPr="00857A47">
              <w:rPr>
                <w:rFonts w:ascii="Palatino" w:hAnsi="Palatino"/>
                <w:sz w:val="20"/>
              </w:rPr>
              <w:t xml:space="preserve"> select teaching methods and learning opportunities that don’t connect well to the standards and benchmarks or the students they are teaching 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teaching methods and learning opportunities that are appropriate to the standards and benchmarks and students they are teaching 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teaching methods and learning opportunities that are well matched to the standards and benchmarks and engaging to the students they are teaching</w:t>
            </w:r>
          </w:p>
        </w:tc>
      </w:tr>
      <w:tr w:rsidR="00A51421" w:rsidRPr="00857A47" w:rsidTr="00F86BFC">
        <w:trPr>
          <w:trHeight w:val="283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Unacceptable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  <w:tr w:rsidR="00A51421" w:rsidRPr="00857A47" w:rsidTr="00F86BFC">
        <w:trPr>
          <w:trHeight w:val="1470"/>
        </w:trPr>
        <w:tc>
          <w:tcPr>
            <w:tcW w:w="1606" w:type="dxa"/>
            <w:tcBorders>
              <w:bottom w:val="nil"/>
            </w:tcBorders>
          </w:tcPr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Alignment of assessment with plan</w:t>
            </w:r>
          </w:p>
          <w:p w:rsidR="00A51421" w:rsidRPr="00857A47" w:rsidRDefault="00050947">
            <w:pPr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(20%)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no assessment strategies or use strategies that do not connect well to the standards/benchmarks or students they are teaching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formative or summative assessment strategies aligned with standards/benchmarks, teaching methods, learning opportunities, and students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authentic formative and summative assessment strategies aligned with standards/benchmarks, teaching methods, and learning opportunities which provide opportunities for students to self-assess</w:t>
            </w:r>
          </w:p>
        </w:tc>
      </w:tr>
      <w:tr w:rsidR="00A51421" w:rsidRPr="00857A47" w:rsidTr="00F86BFC">
        <w:trPr>
          <w:trHeight w:val="243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Unacceptable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  <w:tr w:rsidR="00A51421" w:rsidRPr="00857A47" w:rsidTr="00F86BFC">
        <w:trPr>
          <w:trHeight w:val="1327"/>
        </w:trPr>
        <w:tc>
          <w:tcPr>
            <w:tcW w:w="1606" w:type="dxa"/>
            <w:tcBorders>
              <w:top w:val="nil"/>
              <w:bottom w:val="nil"/>
            </w:tcBorders>
          </w:tcPr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Instruction</w:t>
            </w:r>
          </w:p>
          <w:p w:rsidR="00A51421" w:rsidRPr="00857A47" w:rsidRDefault="00050947">
            <w:pPr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15%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A51421" w:rsidRPr="00857A47" w:rsidRDefault="00F86BFC" w:rsidP="00A51421">
            <w:pPr>
              <w:rPr>
                <w:rFonts w:ascii="Arial" w:hAnsi="Arial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primarily select teacher-centered approaches to instruction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A51421" w:rsidRPr="00857A47" w:rsidRDefault="00F86BFC" w:rsidP="00A51421">
            <w:pPr>
              <w:rPr>
                <w:rFonts w:ascii="Arial" w:hAnsi="Arial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select one or more student-centered approaches to instruction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A51421" w:rsidRPr="00857A47" w:rsidRDefault="00F86BFC" w:rsidP="00A51421">
            <w:pPr>
              <w:rPr>
                <w:rFonts w:ascii="Arial" w:hAnsi="Arial"/>
                <w:sz w:val="20"/>
              </w:rPr>
            </w:pPr>
            <w:r>
              <w:rPr>
                <w:rFonts w:ascii="Palatino" w:hAnsi="Palatino"/>
                <w:sz w:val="20"/>
              </w:rPr>
              <w:t>Teachers</w:t>
            </w:r>
            <w:r w:rsidR="00050947" w:rsidRPr="00857A47">
              <w:rPr>
                <w:rFonts w:ascii="Palatino" w:hAnsi="Palatino"/>
                <w:sz w:val="20"/>
              </w:rPr>
              <w:t xml:space="preserve"> plan to engage students in critical thinking and problem solving, and communicate with students to foster collaboration and develop performance skills</w:t>
            </w:r>
          </w:p>
        </w:tc>
      </w:tr>
      <w:tr w:rsidR="00A51421" w:rsidRPr="00857A47" w:rsidTr="00F86BFC">
        <w:trPr>
          <w:trHeight w:val="141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Unacceptable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  <w:tr w:rsidR="00A51421" w:rsidRPr="00857A47" w:rsidTr="00F86BFC">
        <w:trPr>
          <w:trHeight w:val="890"/>
        </w:trPr>
        <w:tc>
          <w:tcPr>
            <w:tcW w:w="1606" w:type="dxa"/>
            <w:tcBorders>
              <w:bottom w:val="nil"/>
            </w:tcBorders>
          </w:tcPr>
          <w:p w:rsidR="00A51421" w:rsidRPr="00857A47" w:rsidRDefault="00050947">
            <w:pPr>
              <w:rPr>
                <w:rFonts w:ascii="Palatino" w:hAnsi="Palatino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Reflection</w:t>
            </w:r>
          </w:p>
          <w:p w:rsidR="00A51421" w:rsidRPr="00857A47" w:rsidRDefault="00050947">
            <w:pPr>
              <w:rPr>
                <w:rFonts w:ascii="Arial Narrow" w:hAnsi="Arial Narrow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>(20%)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</w:t>
            </w:r>
            <w:r w:rsidR="00050947" w:rsidRPr="00857A47">
              <w:rPr>
                <w:rFonts w:ascii="Palatino" w:hAnsi="Palatino"/>
                <w:sz w:val="20"/>
              </w:rPr>
              <w:t>s do not reflect on content and teaching in terms of learning for students and teachers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</w:t>
            </w:r>
            <w:r w:rsidR="00050947" w:rsidRPr="00857A47">
              <w:rPr>
                <w:rFonts w:ascii="Palatino" w:hAnsi="Palatino"/>
                <w:sz w:val="20"/>
              </w:rPr>
              <w:t>s reflect on content and teaching and use assessments to plan further instruction</w:t>
            </w:r>
          </w:p>
        </w:tc>
        <w:tc>
          <w:tcPr>
            <w:tcW w:w="2563" w:type="dxa"/>
            <w:tcBorders>
              <w:bottom w:val="nil"/>
            </w:tcBorders>
          </w:tcPr>
          <w:p w:rsidR="00A51421" w:rsidRPr="00857A47" w:rsidRDefault="00F86BFC">
            <w:pPr>
              <w:rPr>
                <w:rFonts w:ascii="Arial Narrow" w:hAnsi="Arial Narrow"/>
                <w:sz w:val="20"/>
              </w:rPr>
            </w:pPr>
            <w:r>
              <w:rPr>
                <w:rFonts w:ascii="Palatino" w:hAnsi="Palatino"/>
                <w:sz w:val="20"/>
              </w:rPr>
              <w:t>Teacher</w:t>
            </w:r>
            <w:r w:rsidR="00050947" w:rsidRPr="00857A47">
              <w:rPr>
                <w:rFonts w:ascii="Palatino" w:hAnsi="Palatino"/>
                <w:sz w:val="20"/>
              </w:rPr>
              <w:t>s reflect on content and teaching in terms of learning for students and teachers, and use assessment to improve planning and student learning</w:t>
            </w:r>
          </w:p>
        </w:tc>
      </w:tr>
      <w:tr w:rsidR="00A51421" w:rsidRPr="00857A47" w:rsidTr="00F86BFC">
        <w:trPr>
          <w:trHeight w:val="150"/>
        </w:trPr>
        <w:tc>
          <w:tcPr>
            <w:tcW w:w="1606" w:type="dxa"/>
            <w:tcBorders>
              <w:top w:val="nil"/>
            </w:tcBorders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Unacceptable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  <w:tcBorders>
              <w:top w:val="nil"/>
            </w:tcBorders>
          </w:tcPr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  <w:tr w:rsidR="00A51421" w:rsidRPr="00857A47" w:rsidTr="00F86BFC">
        <w:trPr>
          <w:trHeight w:val="293"/>
        </w:trPr>
        <w:tc>
          <w:tcPr>
            <w:tcW w:w="1606" w:type="dxa"/>
          </w:tcPr>
          <w:p w:rsidR="00A51421" w:rsidRPr="00857A47" w:rsidRDefault="003C7DDA">
            <w:pPr>
              <w:rPr>
                <w:rFonts w:ascii="Arial" w:hAnsi="Arial"/>
                <w:sz w:val="20"/>
              </w:rPr>
            </w:pPr>
          </w:p>
        </w:tc>
        <w:tc>
          <w:tcPr>
            <w:tcW w:w="2563" w:type="dxa"/>
          </w:tcPr>
          <w:p w:rsidR="00A51421" w:rsidRPr="00857A47" w:rsidRDefault="003C7DDA" w:rsidP="00A51421">
            <w:pPr>
              <w:jc w:val="right"/>
              <w:rPr>
                <w:rFonts w:ascii="Palatino" w:hAnsi="Palatino"/>
                <w:sz w:val="20"/>
              </w:rPr>
            </w:pPr>
          </w:p>
          <w:p w:rsidR="00A51421" w:rsidRPr="00857A47" w:rsidRDefault="00F86BFC" w:rsidP="00F86B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    </w:t>
            </w:r>
            <w:r w:rsidR="00050947" w:rsidRPr="00857A47">
              <w:rPr>
                <w:rFonts w:ascii="Palatino" w:hAnsi="Palatino"/>
                <w:sz w:val="20"/>
              </w:rPr>
              <w:t xml:space="preserve">Overall Unacceptable </w:t>
            </w:r>
            <w:r w:rsidR="00050947"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</w:tcPr>
          <w:p w:rsidR="00A51421" w:rsidRPr="00857A47" w:rsidRDefault="003C7DDA" w:rsidP="00A51421">
            <w:pPr>
              <w:jc w:val="right"/>
              <w:rPr>
                <w:rFonts w:ascii="Palatino" w:hAnsi="Palatino"/>
                <w:sz w:val="20"/>
              </w:rPr>
            </w:pPr>
          </w:p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Overall Acceptable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  <w:tc>
          <w:tcPr>
            <w:tcW w:w="2563" w:type="dxa"/>
          </w:tcPr>
          <w:p w:rsidR="00A51421" w:rsidRPr="00857A47" w:rsidRDefault="003C7DDA" w:rsidP="00A51421">
            <w:pPr>
              <w:jc w:val="right"/>
              <w:rPr>
                <w:rFonts w:ascii="Palatino" w:hAnsi="Palatino"/>
                <w:sz w:val="20"/>
              </w:rPr>
            </w:pPr>
          </w:p>
          <w:p w:rsidR="00A51421" w:rsidRPr="00857A47" w:rsidRDefault="00050947" w:rsidP="00A51421">
            <w:pPr>
              <w:jc w:val="right"/>
              <w:rPr>
                <w:rFonts w:ascii="Arial" w:hAnsi="Arial"/>
                <w:sz w:val="20"/>
              </w:rPr>
            </w:pPr>
            <w:r w:rsidRPr="00857A47">
              <w:rPr>
                <w:rFonts w:ascii="Palatino" w:hAnsi="Palatino"/>
                <w:sz w:val="20"/>
              </w:rPr>
              <w:t xml:space="preserve">Overall Target </w:t>
            </w:r>
            <w:r w:rsidRPr="00857A47">
              <w:rPr>
                <w:rFonts w:ascii="Palatino" w:hAnsi="Palatino"/>
                <w:sz w:val="20"/>
              </w:rPr>
              <w:sym w:font="Wingdings 2" w:char="F0A3"/>
            </w:r>
          </w:p>
        </w:tc>
      </w:tr>
    </w:tbl>
    <w:p w:rsidR="00A51421" w:rsidRPr="00602596" w:rsidRDefault="003C7DDA">
      <w:pPr>
        <w:rPr>
          <w:sz w:val="20"/>
        </w:rPr>
      </w:pPr>
    </w:p>
    <w:sectPr w:rsidR="00A51421" w:rsidRPr="00602596" w:rsidSect="00A5142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4C" w:rsidRDefault="00561C4C">
      <w:r>
        <w:separator/>
      </w:r>
    </w:p>
  </w:endnote>
  <w:endnote w:type="continuationSeparator" w:id="0">
    <w:p w:rsidR="00561C4C" w:rsidRDefault="0056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4C" w:rsidRDefault="00561C4C">
      <w:r>
        <w:separator/>
      </w:r>
    </w:p>
  </w:footnote>
  <w:footnote w:type="continuationSeparator" w:id="0">
    <w:p w:rsidR="00561C4C" w:rsidRDefault="0056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FC" w:rsidRPr="00602596" w:rsidRDefault="00F86BFC" w:rsidP="00F86BFC">
    <w:pPr>
      <w:jc w:val="center"/>
      <w:rPr>
        <w:rFonts w:ascii="Arial" w:eastAsia="Apple LiSung Light" w:hAnsi="Arial"/>
        <w:sz w:val="28"/>
        <w:lang w:eastAsia="zh-TW"/>
      </w:rPr>
    </w:pPr>
    <w:r w:rsidRPr="00602596">
      <w:rPr>
        <w:rFonts w:ascii="Arial" w:eastAsia="Apple LiSung Light" w:hAnsi="Arial"/>
        <w:sz w:val="28"/>
        <w:lang w:eastAsia="zh-TW"/>
      </w:rPr>
      <w:t>Backward Design Lesson Plan Template</w:t>
    </w:r>
  </w:p>
  <w:p w:rsidR="00A51421" w:rsidRPr="00602596" w:rsidRDefault="003C7DDA" w:rsidP="00A51421">
    <w:pPr>
      <w:pStyle w:val="Header"/>
      <w:jc w:val="right"/>
      <w:rPr>
        <w:rFonts w:ascii="Palatino" w:hAnsi="Palatin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6"/>
    <w:rsid w:val="00050947"/>
    <w:rsid w:val="001D649E"/>
    <w:rsid w:val="003C7DDA"/>
    <w:rsid w:val="00561C4C"/>
    <w:rsid w:val="00602596"/>
    <w:rsid w:val="006E7215"/>
    <w:rsid w:val="007B22F0"/>
    <w:rsid w:val="008D0F2B"/>
    <w:rsid w:val="008E01E1"/>
    <w:rsid w:val="00DA0237"/>
    <w:rsid w:val="00E208E8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BCFD059-E199-4462-84E2-0F45E3A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96"/>
    <w:rPr>
      <w:sz w:val="24"/>
    </w:rPr>
  </w:style>
  <w:style w:type="paragraph" w:styleId="Heading3">
    <w:name w:val="heading 3"/>
    <w:basedOn w:val="Normal"/>
    <w:next w:val="Normal"/>
    <w:qFormat/>
    <w:rsid w:val="00544CBE"/>
    <w:pPr>
      <w:keepNext/>
      <w:spacing w:before="240" w:after="120"/>
      <w:outlineLvl w:val="2"/>
    </w:pPr>
    <w:rPr>
      <w:rFonts w:ascii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2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Hawaii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Beth Pateman</dc:creator>
  <cp:keywords/>
  <cp:lastModifiedBy>Tonia Fuller</cp:lastModifiedBy>
  <cp:revision>2</cp:revision>
  <cp:lastPrinted>2016-01-21T20:53:00Z</cp:lastPrinted>
  <dcterms:created xsi:type="dcterms:W3CDTF">2016-10-17T16:37:00Z</dcterms:created>
  <dcterms:modified xsi:type="dcterms:W3CDTF">2016-10-17T16:37:00Z</dcterms:modified>
</cp:coreProperties>
</file>