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D0" w:rsidRDefault="009F64D0">
      <w:pPr>
        <w:rPr>
          <w:rFonts w:ascii="Verdana" w:hAnsi="Verdana"/>
          <w:sz w:val="20"/>
          <w:szCs w:val="20"/>
        </w:rPr>
      </w:pPr>
      <w:bookmarkStart w:id="0" w:name="_GoBack"/>
      <w:bookmarkEnd w:id="0"/>
    </w:p>
    <w:p w:rsidR="00802C69" w:rsidRDefault="00802C69">
      <w:pPr>
        <w:rPr>
          <w:rFonts w:ascii="Verdana" w:hAnsi="Verdana"/>
          <w:sz w:val="20"/>
          <w:szCs w:val="20"/>
        </w:rPr>
      </w:pPr>
    </w:p>
    <w:p w:rsidR="00802C69" w:rsidRDefault="00802C69">
      <w:pPr>
        <w:rPr>
          <w:rFonts w:ascii="Verdana" w:hAnsi="Verdana"/>
          <w:sz w:val="20"/>
          <w:szCs w:val="20"/>
        </w:rPr>
      </w:pPr>
    </w:p>
    <w:p w:rsidR="00802C69" w:rsidRPr="00802C69" w:rsidRDefault="00802C69" w:rsidP="00802C69">
      <w:pPr>
        <w:pStyle w:val="ListParagraph"/>
        <w:numPr>
          <w:ilvl w:val="0"/>
          <w:numId w:val="2"/>
        </w:numPr>
        <w:rPr>
          <w:rFonts w:ascii="Verdana" w:hAnsi="Verdana"/>
          <w:b/>
          <w:sz w:val="20"/>
          <w:szCs w:val="20"/>
        </w:rPr>
      </w:pPr>
      <w:r w:rsidRPr="00802C69">
        <w:rPr>
          <w:rFonts w:ascii="Verdana" w:hAnsi="Verdana"/>
          <w:b/>
          <w:sz w:val="20"/>
          <w:szCs w:val="20"/>
        </w:rPr>
        <w:t>Student Performance Outcomes</w:t>
      </w:r>
    </w:p>
    <w:p w:rsidR="00802C69" w:rsidRPr="00802C69" w:rsidRDefault="00802C69" w:rsidP="00802C69">
      <w:pPr>
        <w:pStyle w:val="ListParagraph"/>
        <w:numPr>
          <w:ilvl w:val="1"/>
          <w:numId w:val="2"/>
        </w:numPr>
        <w:rPr>
          <w:rFonts w:ascii="Verdana" w:hAnsi="Verdana"/>
          <w:sz w:val="20"/>
          <w:szCs w:val="20"/>
        </w:rPr>
      </w:pPr>
      <w:r w:rsidRPr="00802C69">
        <w:rPr>
          <w:rFonts w:ascii="Verdana" w:hAnsi="Verdana"/>
          <w:sz w:val="20"/>
          <w:szCs w:val="20"/>
        </w:rPr>
        <w:t>A description of how the integration of technology in the classroom will support the school’s efforts to improve student academic achievement and meet the academic goals and objectives included in the approved charter contract.</w:t>
      </w:r>
    </w:p>
    <w:p w:rsidR="00802C69" w:rsidRPr="00802C69" w:rsidRDefault="00802C69" w:rsidP="00802C69">
      <w:pPr>
        <w:pStyle w:val="ListParagraph"/>
        <w:numPr>
          <w:ilvl w:val="0"/>
          <w:numId w:val="3"/>
        </w:numPr>
        <w:rPr>
          <w:rFonts w:ascii="Verdana" w:hAnsi="Verdana"/>
          <w:b/>
          <w:sz w:val="20"/>
          <w:szCs w:val="20"/>
        </w:rPr>
      </w:pPr>
      <w:r w:rsidRPr="00802C69">
        <w:rPr>
          <w:rFonts w:ascii="Verdana" w:hAnsi="Verdana"/>
          <w:b/>
          <w:sz w:val="20"/>
          <w:szCs w:val="20"/>
        </w:rPr>
        <w:t>Digital Learning and Technology Infrastructure</w:t>
      </w:r>
    </w:p>
    <w:p w:rsidR="008469F2" w:rsidRDefault="008469F2" w:rsidP="008469F2">
      <w:pPr>
        <w:pStyle w:val="ListParagraph"/>
        <w:numPr>
          <w:ilvl w:val="1"/>
          <w:numId w:val="3"/>
        </w:numPr>
        <w:rPr>
          <w:rFonts w:ascii="Verdana" w:hAnsi="Verdana"/>
          <w:sz w:val="20"/>
          <w:szCs w:val="20"/>
        </w:rPr>
      </w:pPr>
      <w:r>
        <w:rPr>
          <w:rFonts w:ascii="Verdana" w:hAnsi="Verdana"/>
          <w:sz w:val="20"/>
          <w:szCs w:val="20"/>
        </w:rPr>
        <w:t>The school will Implement new learning software such as I-Ready and SMART Response VE from SMART Notebook 2014.</w:t>
      </w:r>
    </w:p>
    <w:p w:rsidR="008469F2" w:rsidRDefault="008469F2" w:rsidP="008469F2">
      <w:pPr>
        <w:pStyle w:val="ListParagraph"/>
        <w:numPr>
          <w:ilvl w:val="2"/>
          <w:numId w:val="3"/>
        </w:numPr>
        <w:rPr>
          <w:rFonts w:ascii="Verdana" w:hAnsi="Verdana"/>
          <w:sz w:val="20"/>
          <w:szCs w:val="20"/>
        </w:rPr>
      </w:pPr>
      <w:r>
        <w:rPr>
          <w:rFonts w:ascii="Verdana" w:hAnsi="Verdana"/>
          <w:sz w:val="20"/>
          <w:szCs w:val="20"/>
        </w:rPr>
        <w:t xml:space="preserve">I-Ready – Designed to measure student’s challenges and </w:t>
      </w:r>
      <w:r w:rsidRPr="008469F2">
        <w:rPr>
          <w:rFonts w:ascii="Verdana" w:hAnsi="Verdana"/>
          <w:sz w:val="20"/>
          <w:szCs w:val="20"/>
        </w:rPr>
        <w:t>automatically provide individualized online and teacher-led instruction targeted to each student’s unique need</w:t>
      </w:r>
      <w:r>
        <w:rPr>
          <w:rFonts w:ascii="Verdana" w:hAnsi="Verdana"/>
          <w:sz w:val="20"/>
          <w:szCs w:val="20"/>
        </w:rPr>
        <w:t>.</w:t>
      </w:r>
    </w:p>
    <w:p w:rsidR="008469F2" w:rsidRPr="008469F2" w:rsidRDefault="008469F2" w:rsidP="008469F2">
      <w:pPr>
        <w:pStyle w:val="ListParagraph"/>
        <w:numPr>
          <w:ilvl w:val="2"/>
          <w:numId w:val="3"/>
        </w:numPr>
        <w:rPr>
          <w:rFonts w:ascii="Verdana" w:hAnsi="Verdana"/>
          <w:sz w:val="20"/>
          <w:szCs w:val="20"/>
        </w:rPr>
      </w:pPr>
      <w:r>
        <w:rPr>
          <w:rFonts w:ascii="Verdana" w:hAnsi="Verdana"/>
          <w:sz w:val="20"/>
          <w:szCs w:val="20"/>
        </w:rPr>
        <w:t xml:space="preserve">SMART Response </w:t>
      </w:r>
      <w:r w:rsidR="003D1C21">
        <w:rPr>
          <w:rFonts w:ascii="Verdana" w:hAnsi="Verdana"/>
          <w:sz w:val="20"/>
          <w:szCs w:val="20"/>
        </w:rPr>
        <w:t>–</w:t>
      </w:r>
      <w:r>
        <w:rPr>
          <w:rFonts w:ascii="Verdana" w:hAnsi="Verdana"/>
          <w:sz w:val="20"/>
          <w:szCs w:val="20"/>
        </w:rPr>
        <w:t xml:space="preserve"> </w:t>
      </w:r>
      <w:r w:rsidR="003D1C21">
        <w:rPr>
          <w:rFonts w:ascii="Verdana" w:hAnsi="Verdana"/>
          <w:sz w:val="20"/>
          <w:szCs w:val="20"/>
        </w:rPr>
        <w:t xml:space="preserve">Provides </w:t>
      </w:r>
      <w:r w:rsidRPr="008469F2">
        <w:rPr>
          <w:rFonts w:ascii="Verdana" w:hAnsi="Verdana"/>
          <w:sz w:val="20"/>
          <w:szCs w:val="20"/>
        </w:rPr>
        <w:t>seamles</w:t>
      </w:r>
      <w:r w:rsidR="003D1C21">
        <w:rPr>
          <w:rFonts w:ascii="Verdana" w:hAnsi="Verdana"/>
          <w:sz w:val="20"/>
          <w:szCs w:val="20"/>
        </w:rPr>
        <w:t>s</w:t>
      </w:r>
      <w:r w:rsidRPr="008469F2">
        <w:rPr>
          <w:rFonts w:ascii="Verdana" w:hAnsi="Verdana"/>
          <w:sz w:val="20"/>
          <w:szCs w:val="20"/>
        </w:rPr>
        <w:t xml:space="preserve"> lesson delivery to assessment, with students able to respond to planned or spontaneous questions and quizzes from any web-enabled device.</w:t>
      </w:r>
      <w:r w:rsidR="003D1C21">
        <w:rPr>
          <w:rFonts w:ascii="Verdana" w:hAnsi="Verdana"/>
          <w:sz w:val="20"/>
          <w:szCs w:val="20"/>
        </w:rPr>
        <w:t xml:space="preserve">  </w:t>
      </w:r>
    </w:p>
    <w:p w:rsidR="00462AC4" w:rsidRDefault="00462AC4" w:rsidP="00462AC4">
      <w:pPr>
        <w:pStyle w:val="ListParagraph"/>
        <w:numPr>
          <w:ilvl w:val="1"/>
          <w:numId w:val="3"/>
        </w:numPr>
        <w:rPr>
          <w:rFonts w:ascii="Verdana" w:hAnsi="Verdana"/>
          <w:sz w:val="20"/>
          <w:szCs w:val="20"/>
        </w:rPr>
      </w:pPr>
      <w:r>
        <w:rPr>
          <w:rFonts w:ascii="Verdana" w:hAnsi="Verdana"/>
          <w:sz w:val="20"/>
          <w:szCs w:val="20"/>
        </w:rPr>
        <w:t>In support of improving the classroom learning environment, a mobile device strategy will be implemented to go hand-in-hand with the new software assessment and training technologies.</w:t>
      </w:r>
    </w:p>
    <w:p w:rsidR="00462AC4" w:rsidRPr="00462AC4" w:rsidRDefault="00462AC4" w:rsidP="00462AC4">
      <w:pPr>
        <w:pStyle w:val="ListParagraph"/>
        <w:numPr>
          <w:ilvl w:val="2"/>
          <w:numId w:val="3"/>
        </w:numPr>
        <w:rPr>
          <w:rFonts w:ascii="Verdana" w:hAnsi="Verdana"/>
          <w:sz w:val="20"/>
          <w:szCs w:val="20"/>
        </w:rPr>
      </w:pPr>
      <w:r w:rsidRPr="00462AC4">
        <w:rPr>
          <w:rFonts w:ascii="Verdana" w:hAnsi="Verdana"/>
          <w:sz w:val="20"/>
          <w:szCs w:val="20"/>
          <w:u w:val="single"/>
        </w:rPr>
        <w:t>Infrastructure improvements:</w:t>
      </w:r>
      <w:r w:rsidRPr="00462AC4">
        <w:rPr>
          <w:rFonts w:ascii="Verdana" w:hAnsi="Verdana"/>
          <w:sz w:val="20"/>
          <w:szCs w:val="20"/>
        </w:rPr>
        <w:t xml:space="preserve"> Wireless access in every classroom, conference</w:t>
      </w:r>
      <w:r>
        <w:rPr>
          <w:rFonts w:ascii="Verdana" w:hAnsi="Verdana"/>
          <w:sz w:val="20"/>
          <w:szCs w:val="20"/>
        </w:rPr>
        <w:t xml:space="preserve"> rooms</w:t>
      </w:r>
      <w:r w:rsidRPr="00462AC4">
        <w:rPr>
          <w:rFonts w:ascii="Verdana" w:hAnsi="Verdana"/>
          <w:sz w:val="20"/>
          <w:szCs w:val="20"/>
        </w:rPr>
        <w:t>, media center and auditorium area.</w:t>
      </w:r>
      <w:r>
        <w:rPr>
          <w:rFonts w:ascii="Verdana" w:hAnsi="Verdana"/>
          <w:sz w:val="20"/>
          <w:szCs w:val="20"/>
        </w:rPr>
        <w:t xml:space="preserve">  Plan based on HP assessment and engineer diagrams in response to installing proper wireless coverage.  See attached three Word documents.</w:t>
      </w:r>
    </w:p>
    <w:p w:rsidR="00462AC4" w:rsidRDefault="00462AC4" w:rsidP="00462AC4">
      <w:pPr>
        <w:pStyle w:val="ListParagraph"/>
        <w:numPr>
          <w:ilvl w:val="3"/>
          <w:numId w:val="3"/>
        </w:numPr>
        <w:rPr>
          <w:rFonts w:ascii="Verdana" w:hAnsi="Verdana"/>
          <w:sz w:val="20"/>
          <w:szCs w:val="20"/>
        </w:rPr>
      </w:pPr>
      <w:r>
        <w:rPr>
          <w:rFonts w:ascii="Verdana" w:hAnsi="Verdana"/>
          <w:sz w:val="20"/>
          <w:szCs w:val="20"/>
        </w:rPr>
        <w:t>Qty. 19 HP 425 access points - $</w:t>
      </w:r>
      <w:r w:rsidR="003D1C21">
        <w:rPr>
          <w:rFonts w:ascii="Verdana" w:hAnsi="Verdana"/>
          <w:sz w:val="20"/>
          <w:szCs w:val="20"/>
        </w:rPr>
        <w:t>7,505</w:t>
      </w:r>
    </w:p>
    <w:p w:rsidR="00462AC4" w:rsidRDefault="00462AC4" w:rsidP="00462AC4">
      <w:pPr>
        <w:pStyle w:val="ListParagraph"/>
        <w:numPr>
          <w:ilvl w:val="3"/>
          <w:numId w:val="3"/>
        </w:numPr>
        <w:rPr>
          <w:rFonts w:ascii="Verdana" w:hAnsi="Verdana"/>
          <w:sz w:val="20"/>
          <w:szCs w:val="20"/>
        </w:rPr>
      </w:pPr>
      <w:r>
        <w:rPr>
          <w:rFonts w:ascii="Verdana" w:hAnsi="Verdana"/>
          <w:sz w:val="20"/>
          <w:szCs w:val="20"/>
        </w:rPr>
        <w:t>Qty. 1 HP POE network switch - $</w:t>
      </w:r>
      <w:r w:rsidR="003D1C21">
        <w:rPr>
          <w:rFonts w:ascii="Verdana" w:hAnsi="Verdana"/>
          <w:sz w:val="20"/>
          <w:szCs w:val="20"/>
        </w:rPr>
        <w:t>395</w:t>
      </w:r>
    </w:p>
    <w:p w:rsidR="00462AC4" w:rsidRDefault="00462AC4" w:rsidP="00462AC4">
      <w:pPr>
        <w:pStyle w:val="ListParagraph"/>
        <w:numPr>
          <w:ilvl w:val="3"/>
          <w:numId w:val="3"/>
        </w:numPr>
        <w:rPr>
          <w:rFonts w:ascii="Verdana" w:hAnsi="Verdana"/>
          <w:sz w:val="20"/>
          <w:szCs w:val="20"/>
        </w:rPr>
      </w:pPr>
      <w:r>
        <w:rPr>
          <w:rFonts w:ascii="Verdana" w:hAnsi="Verdana"/>
          <w:sz w:val="20"/>
          <w:szCs w:val="20"/>
        </w:rPr>
        <w:t>Cat. 6 wiring to each access point - $</w:t>
      </w:r>
      <w:r w:rsidR="003D1C21">
        <w:rPr>
          <w:rFonts w:ascii="Verdana" w:hAnsi="Verdana"/>
          <w:sz w:val="20"/>
          <w:szCs w:val="20"/>
        </w:rPr>
        <w:t>9,500</w:t>
      </w:r>
    </w:p>
    <w:p w:rsidR="009B2DEE" w:rsidRPr="009B2DEE" w:rsidRDefault="00462AC4" w:rsidP="009B2DEE">
      <w:pPr>
        <w:pStyle w:val="ListParagraph"/>
        <w:numPr>
          <w:ilvl w:val="3"/>
          <w:numId w:val="3"/>
        </w:numPr>
        <w:rPr>
          <w:rFonts w:ascii="Verdana" w:hAnsi="Verdana"/>
          <w:sz w:val="20"/>
          <w:szCs w:val="20"/>
        </w:rPr>
      </w:pPr>
      <w:r>
        <w:rPr>
          <w:rFonts w:ascii="Verdana" w:hAnsi="Verdana"/>
          <w:sz w:val="20"/>
          <w:szCs w:val="20"/>
        </w:rPr>
        <w:t>24 Port Leviton patch panel - $</w:t>
      </w:r>
      <w:r w:rsidR="003D1C21">
        <w:rPr>
          <w:rFonts w:ascii="Verdana" w:hAnsi="Verdana"/>
          <w:sz w:val="20"/>
          <w:szCs w:val="20"/>
        </w:rPr>
        <w:t>90</w:t>
      </w:r>
    </w:p>
    <w:p w:rsidR="009B2DEE" w:rsidRDefault="009B2DEE" w:rsidP="009B2DEE">
      <w:pPr>
        <w:pStyle w:val="ListParagraph"/>
        <w:numPr>
          <w:ilvl w:val="2"/>
          <w:numId w:val="3"/>
        </w:numPr>
        <w:rPr>
          <w:rFonts w:ascii="Verdana" w:hAnsi="Verdana"/>
          <w:sz w:val="20"/>
          <w:szCs w:val="20"/>
        </w:rPr>
      </w:pPr>
      <w:r>
        <w:rPr>
          <w:rFonts w:ascii="Verdana" w:hAnsi="Verdana"/>
          <w:sz w:val="20"/>
          <w:szCs w:val="20"/>
        </w:rPr>
        <w:t>Fiber Optic network upgrade to include 100Mbps school to corporate YMCA network and Internet access</w:t>
      </w:r>
    </w:p>
    <w:p w:rsidR="009B2DEE" w:rsidRDefault="009B2DEE" w:rsidP="009B2DEE">
      <w:pPr>
        <w:pStyle w:val="ListParagraph"/>
        <w:numPr>
          <w:ilvl w:val="3"/>
          <w:numId w:val="3"/>
        </w:numPr>
        <w:rPr>
          <w:rFonts w:ascii="Verdana" w:hAnsi="Verdana"/>
          <w:sz w:val="20"/>
          <w:szCs w:val="20"/>
        </w:rPr>
      </w:pPr>
      <w:r>
        <w:rPr>
          <w:rFonts w:ascii="Verdana" w:hAnsi="Verdana"/>
          <w:sz w:val="20"/>
          <w:szCs w:val="20"/>
        </w:rPr>
        <w:t>Comcast ENS 100Mbps - $</w:t>
      </w:r>
      <w:r w:rsidR="009F64D0">
        <w:rPr>
          <w:rFonts w:ascii="Verdana" w:hAnsi="Verdana"/>
          <w:sz w:val="20"/>
          <w:szCs w:val="20"/>
        </w:rPr>
        <w:t>537 per month</w:t>
      </w:r>
    </w:p>
    <w:p w:rsidR="00802C69" w:rsidRPr="009F64D0" w:rsidRDefault="009B2DEE" w:rsidP="009F64D0">
      <w:pPr>
        <w:pStyle w:val="ListParagraph"/>
        <w:numPr>
          <w:ilvl w:val="2"/>
          <w:numId w:val="3"/>
        </w:numPr>
        <w:rPr>
          <w:rFonts w:ascii="Verdana" w:hAnsi="Verdana"/>
          <w:sz w:val="20"/>
          <w:szCs w:val="20"/>
        </w:rPr>
      </w:pPr>
      <w:r>
        <w:rPr>
          <w:rFonts w:ascii="Verdana" w:hAnsi="Verdana"/>
          <w:sz w:val="20"/>
          <w:szCs w:val="20"/>
        </w:rPr>
        <w:t>Addition</w:t>
      </w:r>
      <w:r w:rsidR="009F64D0">
        <w:rPr>
          <w:rFonts w:ascii="Verdana" w:hAnsi="Verdana"/>
          <w:sz w:val="20"/>
          <w:szCs w:val="20"/>
        </w:rPr>
        <w:t>ally above wireless hardware will use</w:t>
      </w:r>
      <w:r>
        <w:rPr>
          <w:rFonts w:ascii="Verdana" w:hAnsi="Verdana"/>
          <w:sz w:val="20"/>
          <w:szCs w:val="20"/>
        </w:rPr>
        <w:t xml:space="preserve"> existing MSM760 wireless access controller </w:t>
      </w:r>
      <w:r w:rsidR="009F64D0">
        <w:rPr>
          <w:rFonts w:ascii="Verdana" w:hAnsi="Verdana"/>
          <w:sz w:val="20"/>
          <w:szCs w:val="20"/>
        </w:rPr>
        <w:t xml:space="preserve">at the corporate hub </w:t>
      </w:r>
      <w:r>
        <w:rPr>
          <w:rFonts w:ascii="Verdana" w:hAnsi="Verdana"/>
          <w:sz w:val="20"/>
          <w:szCs w:val="20"/>
        </w:rPr>
        <w:t>to provide for management and security</w:t>
      </w:r>
      <w:r w:rsidR="009F64D0">
        <w:rPr>
          <w:rFonts w:ascii="Verdana" w:hAnsi="Verdana"/>
          <w:sz w:val="20"/>
          <w:szCs w:val="20"/>
        </w:rPr>
        <w:t>.</w:t>
      </w:r>
    </w:p>
    <w:p w:rsidR="00802C69" w:rsidRPr="00802C69" w:rsidRDefault="00802C69" w:rsidP="00802C69">
      <w:pPr>
        <w:pStyle w:val="ListParagraph"/>
        <w:numPr>
          <w:ilvl w:val="0"/>
          <w:numId w:val="3"/>
        </w:numPr>
        <w:rPr>
          <w:rFonts w:ascii="Verdana" w:hAnsi="Verdana"/>
          <w:b/>
          <w:sz w:val="20"/>
          <w:szCs w:val="20"/>
        </w:rPr>
      </w:pPr>
      <w:r w:rsidRPr="00802C69">
        <w:rPr>
          <w:rFonts w:ascii="Verdana" w:hAnsi="Verdana"/>
          <w:b/>
          <w:sz w:val="20"/>
          <w:szCs w:val="20"/>
        </w:rPr>
        <w:t>Professional Development</w:t>
      </w:r>
    </w:p>
    <w:p w:rsidR="00802C69" w:rsidRDefault="00802C69" w:rsidP="00802C69">
      <w:pPr>
        <w:pStyle w:val="ListParagraph"/>
        <w:numPr>
          <w:ilvl w:val="1"/>
          <w:numId w:val="3"/>
        </w:numPr>
        <w:rPr>
          <w:rFonts w:ascii="Verdana" w:hAnsi="Verdana"/>
          <w:sz w:val="20"/>
          <w:szCs w:val="20"/>
        </w:rPr>
      </w:pPr>
      <w:r w:rsidRPr="00802C69">
        <w:rPr>
          <w:rFonts w:ascii="Verdana" w:hAnsi="Verdana"/>
          <w:sz w:val="20"/>
          <w:szCs w:val="20"/>
        </w:rPr>
        <w:t>If the school will use funds to support professional development, a description of how purchases and activities are directly tied to student performance outcomes.</w:t>
      </w:r>
    </w:p>
    <w:p w:rsidR="00802C69" w:rsidRPr="00802C69" w:rsidRDefault="00802C69" w:rsidP="00802C69">
      <w:pPr>
        <w:pStyle w:val="ListParagraph"/>
        <w:numPr>
          <w:ilvl w:val="2"/>
          <w:numId w:val="3"/>
        </w:numPr>
        <w:rPr>
          <w:rFonts w:ascii="Verdana" w:hAnsi="Verdana"/>
          <w:sz w:val="20"/>
          <w:szCs w:val="20"/>
        </w:rPr>
      </w:pPr>
      <w:r w:rsidRPr="00802C69">
        <w:rPr>
          <w:rFonts w:ascii="Verdana" w:hAnsi="Verdana"/>
          <w:sz w:val="20"/>
          <w:szCs w:val="20"/>
        </w:rPr>
        <w:t>This may include, but is not limited to, using technology in the classroom and improving digital literacy and competency.</w:t>
      </w:r>
    </w:p>
    <w:p w:rsidR="00802C69" w:rsidRDefault="00802C69" w:rsidP="00802C69">
      <w:pPr>
        <w:pStyle w:val="ListParagraph"/>
        <w:numPr>
          <w:ilvl w:val="0"/>
          <w:numId w:val="3"/>
        </w:numPr>
        <w:rPr>
          <w:rFonts w:ascii="Verdana" w:hAnsi="Verdana"/>
          <w:b/>
          <w:sz w:val="20"/>
          <w:szCs w:val="20"/>
        </w:rPr>
      </w:pPr>
      <w:r w:rsidRPr="00802C69">
        <w:rPr>
          <w:rFonts w:ascii="Verdana" w:hAnsi="Verdana"/>
          <w:b/>
          <w:sz w:val="20"/>
          <w:szCs w:val="20"/>
        </w:rPr>
        <w:t>Digital Tools</w:t>
      </w:r>
    </w:p>
    <w:p w:rsidR="00171A51" w:rsidRPr="00802C69" w:rsidRDefault="00171A51" w:rsidP="00171A51">
      <w:pPr>
        <w:pStyle w:val="ListParagraph"/>
        <w:numPr>
          <w:ilvl w:val="1"/>
          <w:numId w:val="3"/>
        </w:numPr>
        <w:rPr>
          <w:rFonts w:ascii="Verdana" w:hAnsi="Verdana"/>
          <w:b/>
          <w:sz w:val="20"/>
          <w:szCs w:val="20"/>
        </w:rPr>
      </w:pPr>
      <w:proofErr w:type="gramStart"/>
      <w:r>
        <w:rPr>
          <w:rFonts w:ascii="Verdana" w:hAnsi="Verdana"/>
          <w:sz w:val="20"/>
          <w:szCs w:val="20"/>
        </w:rPr>
        <w:t>iPads</w:t>
      </w:r>
      <w:proofErr w:type="gramEnd"/>
      <w:r>
        <w:rPr>
          <w:rFonts w:ascii="Verdana" w:hAnsi="Verdana"/>
          <w:sz w:val="20"/>
          <w:szCs w:val="20"/>
        </w:rPr>
        <w:t xml:space="preserve"> 15 per class; Software </w:t>
      </w:r>
      <w:proofErr w:type="spellStart"/>
      <w:r>
        <w:rPr>
          <w:rFonts w:ascii="Verdana" w:hAnsi="Verdana"/>
          <w:sz w:val="20"/>
          <w:szCs w:val="20"/>
        </w:rPr>
        <w:t>i</w:t>
      </w:r>
      <w:proofErr w:type="spellEnd"/>
      <w:r>
        <w:rPr>
          <w:rFonts w:ascii="Verdana" w:hAnsi="Verdana"/>
          <w:sz w:val="20"/>
          <w:szCs w:val="20"/>
        </w:rPr>
        <w:t>-Ready, SMART Response VE to enhance existing SMART Board technology?</w:t>
      </w:r>
    </w:p>
    <w:p w:rsidR="00802C69" w:rsidRDefault="00802C69" w:rsidP="00802C69">
      <w:pPr>
        <w:pStyle w:val="ListParagraph"/>
        <w:numPr>
          <w:ilvl w:val="1"/>
          <w:numId w:val="3"/>
        </w:numPr>
        <w:rPr>
          <w:rFonts w:ascii="Verdana" w:hAnsi="Verdana"/>
          <w:sz w:val="20"/>
          <w:szCs w:val="20"/>
        </w:rPr>
      </w:pPr>
      <w:r w:rsidRPr="00802C69">
        <w:rPr>
          <w:rFonts w:ascii="Verdana" w:hAnsi="Verdana"/>
          <w:sz w:val="20"/>
          <w:szCs w:val="20"/>
        </w:rPr>
        <w:t>If the school will use funds to purchase digital tools, a description of how purchases and activities are directly tied to student performance outcomes.</w:t>
      </w:r>
    </w:p>
    <w:p w:rsidR="00802C69" w:rsidRDefault="00802C69" w:rsidP="00802C69">
      <w:pPr>
        <w:pStyle w:val="ListParagraph"/>
        <w:numPr>
          <w:ilvl w:val="2"/>
          <w:numId w:val="3"/>
        </w:numPr>
        <w:rPr>
          <w:rFonts w:ascii="Verdana" w:hAnsi="Verdana"/>
          <w:sz w:val="20"/>
          <w:szCs w:val="20"/>
        </w:rPr>
      </w:pPr>
      <w:r w:rsidRPr="00802C69">
        <w:rPr>
          <w:rFonts w:ascii="Verdana" w:hAnsi="Verdana"/>
          <w:sz w:val="20"/>
          <w:szCs w:val="20"/>
        </w:rPr>
        <w:lastRenderedPageBreak/>
        <w:t>This may include, but is not limited to, competency based credentials that measure and demonstrate digital competency and certifications, third-party assessments that demonstrate acquired knowledge and use of digital</w:t>
      </w:r>
    </w:p>
    <w:p w:rsidR="00171A51" w:rsidRDefault="00171A51" w:rsidP="00171A51">
      <w:pPr>
        <w:rPr>
          <w:rFonts w:ascii="Verdana" w:hAnsi="Verdana"/>
          <w:sz w:val="20"/>
          <w:szCs w:val="20"/>
        </w:rPr>
      </w:pPr>
    </w:p>
    <w:p w:rsidR="00802C69" w:rsidRPr="00171A51" w:rsidRDefault="00802C69" w:rsidP="00171A51">
      <w:pPr>
        <w:rPr>
          <w:rFonts w:ascii="Verdana" w:hAnsi="Verdana"/>
          <w:sz w:val="20"/>
          <w:szCs w:val="20"/>
        </w:rPr>
      </w:pPr>
      <w:proofErr w:type="gramStart"/>
      <w:r w:rsidRPr="00171A51">
        <w:rPr>
          <w:rFonts w:ascii="Verdana" w:hAnsi="Verdana"/>
          <w:sz w:val="20"/>
          <w:szCs w:val="20"/>
        </w:rPr>
        <w:t>application</w:t>
      </w:r>
      <w:proofErr w:type="gramEnd"/>
      <w:r w:rsidRPr="00171A51">
        <w:rPr>
          <w:rFonts w:ascii="Verdana" w:hAnsi="Verdana"/>
          <w:sz w:val="20"/>
          <w:szCs w:val="20"/>
        </w:rPr>
        <w:t xml:space="preserve"> and devices that meet or exceed minimum requirements and protocols established by the department.</w:t>
      </w:r>
    </w:p>
    <w:p w:rsidR="00802C69" w:rsidRPr="00802C69" w:rsidRDefault="00802C69" w:rsidP="00802C69">
      <w:pPr>
        <w:pStyle w:val="ListParagraph"/>
        <w:numPr>
          <w:ilvl w:val="0"/>
          <w:numId w:val="1"/>
        </w:numPr>
        <w:rPr>
          <w:rFonts w:ascii="Verdana" w:hAnsi="Verdana"/>
          <w:b/>
          <w:sz w:val="20"/>
          <w:szCs w:val="20"/>
        </w:rPr>
      </w:pPr>
      <w:r w:rsidRPr="00802C69">
        <w:rPr>
          <w:rFonts w:ascii="Verdana" w:hAnsi="Verdana"/>
          <w:b/>
          <w:sz w:val="20"/>
          <w:szCs w:val="20"/>
        </w:rPr>
        <w:t>Online Assessments</w:t>
      </w:r>
    </w:p>
    <w:p w:rsidR="00802C69" w:rsidRDefault="00802C69" w:rsidP="00802C69">
      <w:pPr>
        <w:pStyle w:val="ListParagraph"/>
        <w:numPr>
          <w:ilvl w:val="1"/>
          <w:numId w:val="1"/>
        </w:numPr>
        <w:rPr>
          <w:rFonts w:ascii="Verdana" w:hAnsi="Verdana"/>
          <w:sz w:val="20"/>
          <w:szCs w:val="20"/>
        </w:rPr>
      </w:pPr>
      <w:r w:rsidRPr="00802C69">
        <w:rPr>
          <w:rFonts w:ascii="Verdana" w:hAnsi="Verdana"/>
          <w:sz w:val="20"/>
          <w:szCs w:val="20"/>
        </w:rPr>
        <w:t>If the school will use funds for online assessment related purchases, a description of how purchases and activities are directly tied to student performance outcomes.</w:t>
      </w:r>
    </w:p>
    <w:p w:rsidR="00802C69" w:rsidRPr="00802C69" w:rsidRDefault="00802C69" w:rsidP="00802C69">
      <w:pPr>
        <w:pStyle w:val="ListParagraph"/>
        <w:numPr>
          <w:ilvl w:val="1"/>
          <w:numId w:val="1"/>
        </w:numPr>
        <w:rPr>
          <w:rFonts w:ascii="Verdana" w:hAnsi="Verdana"/>
          <w:sz w:val="20"/>
          <w:szCs w:val="20"/>
        </w:rPr>
      </w:pPr>
      <w:r w:rsidRPr="00802C69">
        <w:rPr>
          <w:rFonts w:ascii="Verdana" w:hAnsi="Verdana"/>
          <w:sz w:val="20"/>
          <w:szCs w:val="20"/>
        </w:rPr>
        <w:t>This may include expanding the capacity to administer assessments and compatibility with minimum assessment protocols and requirements established by the department.</w:t>
      </w:r>
    </w:p>
    <w:sectPr w:rsidR="00802C69" w:rsidRPr="00802C69" w:rsidSect="00802C6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700" w:rsidRDefault="00E07700" w:rsidP="00802C69">
      <w:pPr>
        <w:spacing w:after="0" w:line="240" w:lineRule="auto"/>
      </w:pPr>
      <w:r>
        <w:separator/>
      </w:r>
    </w:p>
  </w:endnote>
  <w:endnote w:type="continuationSeparator" w:id="0">
    <w:p w:rsidR="00E07700" w:rsidRDefault="00E07700" w:rsidP="0080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700" w:rsidRDefault="00E07700" w:rsidP="00802C69">
      <w:pPr>
        <w:spacing w:after="0" w:line="240" w:lineRule="auto"/>
      </w:pPr>
      <w:r>
        <w:separator/>
      </w:r>
    </w:p>
  </w:footnote>
  <w:footnote w:type="continuationSeparator" w:id="0">
    <w:p w:rsidR="00E07700" w:rsidRDefault="00E07700" w:rsidP="00802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D0" w:rsidRDefault="009F64D0">
    <w:pPr>
      <w:pStyle w:val="Header"/>
    </w:pPr>
    <w:r w:rsidRPr="00802C69">
      <w:rPr>
        <w:rFonts w:ascii="Verdana" w:hAnsi="Verdana"/>
        <w:noProof/>
      </w:rPr>
      <w:drawing>
        <wp:inline distT="0" distB="0" distL="0" distR="0" wp14:anchorId="7D0082FE" wp14:editId="17AE586A">
          <wp:extent cx="771113"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_fullcolo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113" cy="771525"/>
                  </a:xfrm>
                  <a:prstGeom prst="rect">
                    <a:avLst/>
                  </a:prstGeom>
                </pic:spPr>
              </pic:pic>
            </a:graphicData>
          </a:graphic>
        </wp:inline>
      </w:drawing>
    </w:r>
    <w:r>
      <w:t xml:space="preserve">       </w:t>
    </w:r>
    <w:r w:rsidRPr="00802C69">
      <w:rPr>
        <w:rFonts w:ascii="Verdana" w:hAnsi="Verdana"/>
        <w:b/>
        <w:sz w:val="28"/>
        <w:szCs w:val="28"/>
      </w:rPr>
      <w:t>Tiger Academy – Digital Classroom Plan 2014-2015</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3F1D"/>
    <w:multiLevelType w:val="hybridMultilevel"/>
    <w:tmpl w:val="E0B04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1459A"/>
    <w:multiLevelType w:val="hybridMultilevel"/>
    <w:tmpl w:val="D93AF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3172C"/>
    <w:multiLevelType w:val="hybridMultilevel"/>
    <w:tmpl w:val="94A8554A"/>
    <w:lvl w:ilvl="0" w:tplc="C5AA92E4">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69"/>
    <w:rsid w:val="00171A51"/>
    <w:rsid w:val="003D1C21"/>
    <w:rsid w:val="00462AC4"/>
    <w:rsid w:val="0058229C"/>
    <w:rsid w:val="00802C69"/>
    <w:rsid w:val="008469F2"/>
    <w:rsid w:val="009B2DEE"/>
    <w:rsid w:val="009F64D0"/>
    <w:rsid w:val="00C55038"/>
    <w:rsid w:val="00C95FFB"/>
    <w:rsid w:val="00D007C0"/>
    <w:rsid w:val="00E07700"/>
    <w:rsid w:val="00E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16A226-BDAB-4A7F-A392-F7BA889C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69"/>
  </w:style>
  <w:style w:type="paragraph" w:styleId="Footer">
    <w:name w:val="footer"/>
    <w:basedOn w:val="Normal"/>
    <w:link w:val="FooterChar"/>
    <w:uiPriority w:val="99"/>
    <w:unhideWhenUsed/>
    <w:rsid w:val="0080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69"/>
  </w:style>
  <w:style w:type="paragraph" w:styleId="BalloonText">
    <w:name w:val="Balloon Text"/>
    <w:basedOn w:val="Normal"/>
    <w:link w:val="BalloonTextChar"/>
    <w:uiPriority w:val="99"/>
    <w:semiHidden/>
    <w:unhideWhenUsed/>
    <w:rsid w:val="00802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69"/>
    <w:rPr>
      <w:rFonts w:ascii="Tahoma" w:hAnsi="Tahoma" w:cs="Tahoma"/>
      <w:sz w:val="16"/>
      <w:szCs w:val="16"/>
    </w:rPr>
  </w:style>
  <w:style w:type="paragraph" w:styleId="ListParagraph">
    <w:name w:val="List Paragraph"/>
    <w:basedOn w:val="Normal"/>
    <w:uiPriority w:val="34"/>
    <w:qFormat/>
    <w:rsid w:val="0080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Tannen</dc:creator>
  <cp:lastModifiedBy>Tumika Mondy</cp:lastModifiedBy>
  <cp:revision>2</cp:revision>
  <dcterms:created xsi:type="dcterms:W3CDTF">2016-10-15T15:34:00Z</dcterms:created>
  <dcterms:modified xsi:type="dcterms:W3CDTF">2016-10-15T15:34:00Z</dcterms:modified>
</cp:coreProperties>
</file>